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F1303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13034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B013B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4368D3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="00B013B0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13034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43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9C7244" w:rsidRDefault="0060650C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О</w:t>
      </w:r>
      <w:r w:rsidR="00AA5D6E">
        <w:rPr>
          <w:sz w:val="28"/>
          <w:szCs w:val="28"/>
        </w:rPr>
        <w:t xml:space="preserve"> рассмотрении </w:t>
      </w:r>
      <w:r>
        <w:rPr>
          <w:sz w:val="28"/>
          <w:szCs w:val="28"/>
        </w:rPr>
        <w:t>жалоб</w:t>
      </w:r>
      <w:r w:rsidR="008E07A0">
        <w:rPr>
          <w:sz w:val="28"/>
          <w:szCs w:val="28"/>
        </w:rPr>
        <w:t>ы</w:t>
      </w:r>
      <w:r w:rsidR="00DA439C">
        <w:rPr>
          <w:sz w:val="28"/>
          <w:szCs w:val="28"/>
        </w:rPr>
        <w:t xml:space="preserve"> </w:t>
      </w:r>
    </w:p>
    <w:p w:rsidR="008E07A0" w:rsidRDefault="001579C1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Самохина С</w:t>
      </w:r>
      <w:r w:rsidR="00DA439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DA439C">
        <w:rPr>
          <w:sz w:val="28"/>
          <w:szCs w:val="28"/>
        </w:rPr>
        <w:t>.</w:t>
      </w:r>
      <w:r w:rsidR="00AA5D6E">
        <w:rPr>
          <w:sz w:val="28"/>
          <w:szCs w:val="28"/>
        </w:rPr>
        <w:t xml:space="preserve"> </w:t>
      </w:r>
    </w:p>
    <w:p w:rsidR="009C7244" w:rsidRDefault="008E07A0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(вход. № 52</w:t>
      </w:r>
      <w:r w:rsidR="00FD6EC9">
        <w:rPr>
          <w:sz w:val="28"/>
          <w:szCs w:val="28"/>
        </w:rPr>
        <w:t>7</w:t>
      </w:r>
      <w:r>
        <w:rPr>
          <w:sz w:val="28"/>
          <w:szCs w:val="28"/>
        </w:rPr>
        <w:t xml:space="preserve"> от 18.09.2016 г.)</w:t>
      </w:r>
      <w:r w:rsidR="009C7244">
        <w:rPr>
          <w:sz w:val="28"/>
          <w:szCs w:val="28"/>
        </w:rPr>
        <w:t xml:space="preserve"> </w:t>
      </w:r>
    </w:p>
    <w:p w:rsidR="00F13034" w:rsidRDefault="00F13034" w:rsidP="0060650C">
      <w:pPr>
        <w:spacing w:line="360" w:lineRule="auto"/>
        <w:ind w:firstLine="708"/>
        <w:jc w:val="both"/>
        <w:rPr>
          <w:sz w:val="28"/>
          <w:szCs w:val="28"/>
        </w:rPr>
      </w:pPr>
    </w:p>
    <w:p w:rsidR="00602CB3" w:rsidRDefault="0060650C" w:rsidP="00602CB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F13034">
        <w:rPr>
          <w:sz w:val="28"/>
          <w:szCs w:val="28"/>
        </w:rPr>
        <w:t>8</w:t>
      </w:r>
      <w:r w:rsidR="00790E35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 2016 года в </w:t>
      </w:r>
      <w:r w:rsidR="00790E35">
        <w:rPr>
          <w:sz w:val="28"/>
          <w:szCs w:val="28"/>
        </w:rPr>
        <w:t>территориальную и</w:t>
      </w:r>
      <w:r>
        <w:rPr>
          <w:sz w:val="28"/>
          <w:szCs w:val="28"/>
        </w:rPr>
        <w:t>збирательную комиссию</w:t>
      </w:r>
      <w:r w:rsidR="00790E35">
        <w:rPr>
          <w:sz w:val="28"/>
          <w:szCs w:val="28"/>
        </w:rPr>
        <w:t xml:space="preserve"> города Находки </w:t>
      </w:r>
      <w:r>
        <w:rPr>
          <w:sz w:val="28"/>
          <w:szCs w:val="28"/>
        </w:rPr>
        <w:t xml:space="preserve">поступила жалоба </w:t>
      </w:r>
      <w:r w:rsidR="00C87B9B">
        <w:rPr>
          <w:sz w:val="28"/>
          <w:szCs w:val="28"/>
        </w:rPr>
        <w:t>от кандидата в депутаты Законодательного Собрания Приморского края по одномандатному избирательному округу № 1</w:t>
      </w:r>
      <w:r w:rsidR="001579C1">
        <w:rPr>
          <w:sz w:val="28"/>
          <w:szCs w:val="28"/>
        </w:rPr>
        <w:t>9</w:t>
      </w:r>
      <w:r w:rsidR="00C87B9B">
        <w:rPr>
          <w:sz w:val="28"/>
          <w:szCs w:val="28"/>
        </w:rPr>
        <w:t xml:space="preserve"> </w:t>
      </w:r>
      <w:r w:rsidR="001579C1">
        <w:rPr>
          <w:sz w:val="28"/>
          <w:szCs w:val="28"/>
        </w:rPr>
        <w:t>Самохина С.М.</w:t>
      </w:r>
      <w:r w:rsidR="00602CB3">
        <w:rPr>
          <w:sz w:val="28"/>
          <w:szCs w:val="28"/>
        </w:rPr>
        <w:t>. Заявитель указывает на то, что при проведении голосования вне помещения для голосования участковой комиссией избирательного  участка № 1950 больные избиратели пользовались помощью других избирателей при  заполнении избирательного бюллетеня.</w:t>
      </w:r>
      <w:proofErr w:type="gramEnd"/>
      <w:r w:rsidR="00602CB3">
        <w:rPr>
          <w:sz w:val="28"/>
          <w:szCs w:val="28"/>
        </w:rPr>
        <w:t xml:space="preserve"> Заявитель также в жалобе указывает на то, что при проведении голосования вне помещения для голосования на избирательном участке № 1950 у членов участковой избирательной комиссии не было реестра приема заявок на голосование вне помещения.</w:t>
      </w:r>
    </w:p>
    <w:p w:rsidR="00602CB3" w:rsidRDefault="00602CB3" w:rsidP="00602CB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частью 12 статьи 75 Избирательного кодекса Приморского края избиратель, не имеющий возможности самостоятельно расписаться в получении избирательного бюллетеня или заполнить избирательный бюллетень, вправе воспользоваться для этого помощью другого избирателя, не являющегося членом избирательной комиссии.</w:t>
      </w:r>
    </w:p>
    <w:p w:rsidR="00602CB3" w:rsidRDefault="00602CB3" w:rsidP="00602CB3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77 Избирательного кодекса Приморского края члены участковой избирательной комиссии с правом решающего голоса, проводящие голосование вне помещения для голосования, должны иметь при себе переносной ящик для голосования, необходимое количество </w:t>
      </w:r>
      <w:r>
        <w:rPr>
          <w:sz w:val="28"/>
          <w:szCs w:val="28"/>
        </w:rPr>
        <w:lastRenderedPageBreak/>
        <w:t>избирательных бюллетеней установленной формы, реестр либо заверенную выписку из него.</w:t>
      </w:r>
      <w:proofErr w:type="gramEnd"/>
    </w:p>
    <w:p w:rsidR="00602CB3" w:rsidRDefault="00602CB3" w:rsidP="00602C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комиссией города Находки установлено, что участковой комиссией избирательного участка № 1950 не нарушено законодательство при проведении голосования вне помещения для голосования.  У членов участковой избирательной комиссии была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наличии выписка из реестра для голосования вне помещения для голосования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Члены участковой избирательной комиссии не оказывали помощь избирателям при заполнении ими избирательных бюллетеней. Следовательно, нарушений избирательного законодательства членами участковой избирательной комиссии участка № 1950 при организации голосования вне помещения для голосования допущено не было.    </w:t>
      </w:r>
    </w:p>
    <w:p w:rsidR="00602CB3" w:rsidRDefault="00602CB3" w:rsidP="00602C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жалобы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отсутствии выписки из реестра заявок для организации голосования вне помещения для голосования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участковой комиссии избирательного участка № 1950 не обоснованы и документально не подтверждены.   </w:t>
      </w:r>
    </w:p>
    <w:p w:rsidR="00602CB3" w:rsidRDefault="00602CB3" w:rsidP="00602C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26, 77 Избирательного кодекса Приморского края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Находки</w:t>
      </w:r>
    </w:p>
    <w:p w:rsidR="003B388D" w:rsidRDefault="003B388D" w:rsidP="003B38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B388D" w:rsidRDefault="003B388D" w:rsidP="003B388D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Жалобу кандидата Самохина С.М. признать необоснованной и в ее удовлетворении отказать.  </w:t>
      </w:r>
    </w:p>
    <w:p w:rsidR="003B388D" w:rsidRDefault="003B388D" w:rsidP="003B38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Разъяснить председателю участковой комиссии избирательного участка № 19</w:t>
      </w: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 порядок голосования </w:t>
      </w:r>
      <w:proofErr w:type="gramStart"/>
      <w:r>
        <w:rPr>
          <w:sz w:val="28"/>
          <w:szCs w:val="28"/>
        </w:rPr>
        <w:t>в</w:t>
      </w:r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помещении для голосования.  </w:t>
      </w:r>
    </w:p>
    <w:p w:rsidR="003B388D" w:rsidRDefault="003B388D" w:rsidP="003B38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копию настоящего решения кандидату Самохину С.М.</w:t>
      </w:r>
    </w:p>
    <w:p w:rsidR="003B388D" w:rsidRDefault="003B388D" w:rsidP="003B388D">
      <w:pPr>
        <w:spacing w:line="360" w:lineRule="auto"/>
        <w:jc w:val="both"/>
        <w:rPr>
          <w:sz w:val="28"/>
          <w:szCs w:val="28"/>
        </w:rPr>
      </w:pPr>
    </w:p>
    <w:p w:rsidR="003B388D" w:rsidRDefault="003B388D" w:rsidP="003B38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3B388D" w:rsidRDefault="003B388D" w:rsidP="003B388D">
      <w:pPr>
        <w:jc w:val="both"/>
        <w:rPr>
          <w:sz w:val="28"/>
          <w:szCs w:val="28"/>
        </w:rPr>
      </w:pPr>
    </w:p>
    <w:p w:rsidR="003B388D" w:rsidRDefault="003B388D" w:rsidP="003B388D">
      <w:pPr>
        <w:jc w:val="both"/>
        <w:rPr>
          <w:sz w:val="26"/>
          <w:szCs w:val="26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Ю.Н. Кайданович</w:t>
      </w:r>
      <w:r>
        <w:rPr>
          <w:sz w:val="26"/>
          <w:szCs w:val="26"/>
        </w:rPr>
        <w:t xml:space="preserve">  </w:t>
      </w:r>
    </w:p>
    <w:p w:rsidR="003B388D" w:rsidRDefault="003B388D" w:rsidP="003B388D">
      <w:pPr>
        <w:jc w:val="both"/>
        <w:rPr>
          <w:sz w:val="26"/>
          <w:szCs w:val="26"/>
        </w:rPr>
      </w:pPr>
    </w:p>
    <w:p w:rsidR="003B388D" w:rsidRDefault="003B388D" w:rsidP="003B388D">
      <w:pPr>
        <w:jc w:val="both"/>
        <w:rPr>
          <w:sz w:val="26"/>
          <w:szCs w:val="26"/>
        </w:rPr>
      </w:pPr>
    </w:p>
    <w:p w:rsidR="003B388D" w:rsidRDefault="003B388D" w:rsidP="003B38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56B05" w:rsidRDefault="003B388D" w:rsidP="00D350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001B35">
        <w:rPr>
          <w:sz w:val="26"/>
          <w:szCs w:val="26"/>
        </w:rPr>
        <w:t xml:space="preserve">             </w:t>
      </w:r>
    </w:p>
    <w:sectPr w:rsidR="00C56B05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B5" w:rsidRDefault="005578B5" w:rsidP="00F3606B">
      <w:r>
        <w:separator/>
      </w:r>
    </w:p>
  </w:endnote>
  <w:endnote w:type="continuationSeparator" w:id="0">
    <w:p w:rsidR="005578B5" w:rsidRDefault="005578B5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3B388D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B5" w:rsidRDefault="005578B5" w:rsidP="00F3606B">
      <w:r>
        <w:separator/>
      </w:r>
    </w:p>
  </w:footnote>
  <w:footnote w:type="continuationSeparator" w:id="0">
    <w:p w:rsidR="005578B5" w:rsidRDefault="005578B5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C12E7E34"/>
    <w:lvl w:ilvl="0" w:tplc="9A7ACA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374F5"/>
    <w:rsid w:val="00053E64"/>
    <w:rsid w:val="000633D4"/>
    <w:rsid w:val="000635E4"/>
    <w:rsid w:val="00064D42"/>
    <w:rsid w:val="0007606A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D6728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79C1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47D5C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4499"/>
    <w:rsid w:val="003367B0"/>
    <w:rsid w:val="00342FBD"/>
    <w:rsid w:val="003673E5"/>
    <w:rsid w:val="00370407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A59DB"/>
    <w:rsid w:val="003B388D"/>
    <w:rsid w:val="003B39B5"/>
    <w:rsid w:val="003B5FAF"/>
    <w:rsid w:val="003C0430"/>
    <w:rsid w:val="003E140A"/>
    <w:rsid w:val="003E44A0"/>
    <w:rsid w:val="003E70F9"/>
    <w:rsid w:val="003F2BC1"/>
    <w:rsid w:val="003F2DF7"/>
    <w:rsid w:val="003F3554"/>
    <w:rsid w:val="0040050C"/>
    <w:rsid w:val="00401A8F"/>
    <w:rsid w:val="004047DF"/>
    <w:rsid w:val="00414F15"/>
    <w:rsid w:val="00415263"/>
    <w:rsid w:val="00416556"/>
    <w:rsid w:val="0041738B"/>
    <w:rsid w:val="00417C0E"/>
    <w:rsid w:val="00425F23"/>
    <w:rsid w:val="004334C9"/>
    <w:rsid w:val="004368D3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8B5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2CB3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4B0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2F81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7F7784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E07A0"/>
    <w:rsid w:val="008F0310"/>
    <w:rsid w:val="008F5B45"/>
    <w:rsid w:val="008F606D"/>
    <w:rsid w:val="00900B49"/>
    <w:rsid w:val="00903E01"/>
    <w:rsid w:val="00921F4D"/>
    <w:rsid w:val="00931AA3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A56FE"/>
    <w:rsid w:val="009C39F1"/>
    <w:rsid w:val="009C495E"/>
    <w:rsid w:val="009C546E"/>
    <w:rsid w:val="009C7244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3B0"/>
    <w:rsid w:val="00B01A5E"/>
    <w:rsid w:val="00B038B2"/>
    <w:rsid w:val="00B04DEB"/>
    <w:rsid w:val="00B0518C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50F1"/>
    <w:rsid w:val="00D36EE2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363D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4DB6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23D4"/>
    <w:rsid w:val="00EF2DC0"/>
    <w:rsid w:val="00EF64A0"/>
    <w:rsid w:val="00EF681B"/>
    <w:rsid w:val="00F00175"/>
    <w:rsid w:val="00F02591"/>
    <w:rsid w:val="00F05855"/>
    <w:rsid w:val="00F10233"/>
    <w:rsid w:val="00F13034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33F"/>
    <w:rsid w:val="00F96A95"/>
    <w:rsid w:val="00FA0515"/>
    <w:rsid w:val="00FC5D39"/>
    <w:rsid w:val="00FD1B57"/>
    <w:rsid w:val="00FD6EC9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20B7-AED4-4327-BA59-F4EEF050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7</cp:revision>
  <cp:lastPrinted>2016-09-12T07:11:00Z</cp:lastPrinted>
  <dcterms:created xsi:type="dcterms:W3CDTF">2016-09-18T13:59:00Z</dcterms:created>
  <dcterms:modified xsi:type="dcterms:W3CDTF">2016-09-18T14:10:00Z</dcterms:modified>
</cp:coreProperties>
</file>